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3A9" w:rsidRDefault="002403A9" w:rsidP="00761D6E">
      <w:pPr>
        <w:pStyle w:val="Default"/>
        <w:spacing w:line="360" w:lineRule="auto"/>
        <w:jc w:val="both"/>
        <w:rPr>
          <w:rFonts w:ascii="Bookman Old Style" w:hAnsi="Bookman Old Style" w:cs="Bookman Old Style"/>
          <w:b/>
          <w:bCs/>
          <w:color w:val="auto"/>
          <w:sz w:val="22"/>
          <w:szCs w:val="22"/>
        </w:rPr>
      </w:pPr>
      <w:r>
        <w:rPr>
          <w:rFonts w:ascii="Bookman Old Style" w:hAnsi="Bookman Old Style" w:cs="Bookman Old Style"/>
          <w:b/>
          <w:bCs/>
          <w:color w:val="auto"/>
          <w:sz w:val="22"/>
          <w:szCs w:val="22"/>
        </w:rPr>
        <w:t xml:space="preserve">OGGETTO: Istruzioni ai professionisti delegati in ordine alle modalità di predisposizione della bozza del decreto di trasferimento </w:t>
      </w:r>
    </w:p>
    <w:p w:rsidR="00155254" w:rsidRDefault="00155254" w:rsidP="00761D6E">
      <w:pPr>
        <w:pStyle w:val="Default"/>
        <w:spacing w:line="360" w:lineRule="auto"/>
        <w:jc w:val="both"/>
        <w:rPr>
          <w:rFonts w:ascii="Bookman Old Style" w:hAnsi="Bookman Old Style" w:cs="Bookman Old Style"/>
          <w:color w:val="auto"/>
          <w:sz w:val="22"/>
          <w:szCs w:val="22"/>
        </w:rPr>
      </w:pPr>
    </w:p>
    <w:p w:rsidR="008C5126" w:rsidRDefault="002403A9" w:rsidP="00761D6E">
      <w:pPr>
        <w:pStyle w:val="Default"/>
        <w:spacing w:line="360" w:lineRule="auto"/>
        <w:jc w:val="both"/>
        <w:rPr>
          <w:rFonts w:ascii="Bookman Old Style" w:hAnsi="Bookman Old Style" w:cs="Bookman Old Style"/>
          <w:b/>
          <w:bCs/>
          <w:color w:val="auto"/>
          <w:sz w:val="22"/>
          <w:szCs w:val="22"/>
        </w:rPr>
      </w:pPr>
      <w:r>
        <w:rPr>
          <w:rFonts w:ascii="Bookman Old Style" w:hAnsi="Bookman Old Style" w:cs="Bookman Old Style"/>
          <w:color w:val="auto"/>
          <w:sz w:val="22"/>
          <w:szCs w:val="22"/>
        </w:rPr>
        <w:t xml:space="preserve">Le presenti istruzioni forniscono ai professionisti delegati le prescrizioni generali per la predisposizione uniforme e senza intoppi delle bozze dei Decreti di Trasferimento. </w:t>
      </w:r>
    </w:p>
    <w:p w:rsidR="008C5126" w:rsidRDefault="008C5126" w:rsidP="00761D6E">
      <w:pPr>
        <w:pStyle w:val="Default"/>
        <w:spacing w:line="360" w:lineRule="auto"/>
        <w:jc w:val="both"/>
        <w:rPr>
          <w:rFonts w:ascii="Bookman Old Style" w:hAnsi="Bookman Old Style" w:cs="Bookman Old Style"/>
          <w:b/>
          <w:bCs/>
          <w:color w:val="auto"/>
          <w:sz w:val="22"/>
          <w:szCs w:val="22"/>
        </w:rPr>
      </w:pPr>
    </w:p>
    <w:p w:rsidR="002403A9" w:rsidRPr="00155254" w:rsidRDefault="002403A9" w:rsidP="00761D6E">
      <w:pPr>
        <w:pStyle w:val="Default"/>
        <w:spacing w:line="360" w:lineRule="auto"/>
        <w:jc w:val="both"/>
        <w:rPr>
          <w:rFonts w:ascii="Bookman Old Style" w:hAnsi="Bookman Old Style" w:cs="Bookman Old Style"/>
          <w:color w:val="auto"/>
          <w:sz w:val="22"/>
          <w:szCs w:val="22"/>
        </w:rPr>
      </w:pPr>
      <w:r>
        <w:rPr>
          <w:rFonts w:ascii="Bookman Old Style" w:hAnsi="Bookman Old Style" w:cs="Bookman Old Style"/>
          <w:b/>
          <w:bCs/>
          <w:color w:val="auto"/>
          <w:sz w:val="22"/>
          <w:szCs w:val="22"/>
        </w:rPr>
        <w:t xml:space="preserve">Formato della bozza e documentazione da allegare </w:t>
      </w:r>
    </w:p>
    <w:p w:rsidR="00155254" w:rsidRDefault="00155254" w:rsidP="00761D6E">
      <w:pPr>
        <w:pStyle w:val="Default"/>
        <w:spacing w:line="360" w:lineRule="auto"/>
        <w:jc w:val="both"/>
        <w:rPr>
          <w:rFonts w:ascii="Bookman Old Style" w:hAnsi="Bookman Old Style" w:cs="Bookman Old Style"/>
          <w:color w:val="auto"/>
          <w:sz w:val="22"/>
          <w:szCs w:val="22"/>
        </w:rPr>
      </w:pPr>
    </w:p>
    <w:p w:rsidR="002403A9" w:rsidRDefault="00155254" w:rsidP="00761D6E">
      <w:pPr>
        <w:pStyle w:val="Default"/>
        <w:spacing w:line="360" w:lineRule="auto"/>
        <w:jc w:val="both"/>
        <w:rPr>
          <w:rFonts w:ascii="Bookman Old Style" w:hAnsi="Bookman Old Style" w:cs="Bookman Old Style"/>
          <w:b/>
          <w:bCs/>
          <w:color w:val="auto"/>
          <w:sz w:val="22"/>
          <w:szCs w:val="22"/>
        </w:rPr>
      </w:pPr>
      <w:r>
        <w:rPr>
          <w:rFonts w:ascii="Bookman Old Style" w:hAnsi="Bookman Old Style" w:cs="Bookman Old Style"/>
          <w:b/>
          <w:bCs/>
          <w:color w:val="auto"/>
          <w:sz w:val="22"/>
          <w:szCs w:val="22"/>
        </w:rPr>
        <w:t>1</w:t>
      </w:r>
      <w:r w:rsidR="002403A9">
        <w:rPr>
          <w:rFonts w:ascii="Bookman Old Style" w:hAnsi="Bookman Old Style" w:cs="Bookman Old Style"/>
          <w:b/>
          <w:bCs/>
          <w:color w:val="auto"/>
          <w:sz w:val="22"/>
          <w:szCs w:val="22"/>
        </w:rPr>
        <w:t xml:space="preserve">.1 </w:t>
      </w:r>
      <w:r w:rsidR="002403A9">
        <w:rPr>
          <w:rFonts w:ascii="Bookman Old Style" w:hAnsi="Bookman Old Style" w:cs="Bookman Old Style"/>
          <w:color w:val="auto"/>
          <w:sz w:val="22"/>
          <w:szCs w:val="22"/>
        </w:rPr>
        <w:t>La bozza del decreto di trasferimento dovrà avere il classico formato pdf nativo</w:t>
      </w:r>
      <w:r>
        <w:rPr>
          <w:rFonts w:ascii="Bookman Old Style" w:hAnsi="Bookman Old Style" w:cs="Bookman Old Style"/>
          <w:color w:val="auto"/>
          <w:sz w:val="22"/>
          <w:szCs w:val="22"/>
        </w:rPr>
        <w:t xml:space="preserve"> con deposito telematico</w:t>
      </w:r>
      <w:r w:rsidR="002403A9">
        <w:rPr>
          <w:rFonts w:ascii="Bookman Old Style" w:hAnsi="Bookman Old Style" w:cs="Bookman Old Style"/>
          <w:color w:val="auto"/>
          <w:sz w:val="22"/>
          <w:szCs w:val="22"/>
        </w:rPr>
        <w:t>, al fine però di rendere possibile al GE l’eventuale modifica per motivi sopravenuti del file predisposto</w:t>
      </w:r>
      <w:r w:rsidR="001243BF">
        <w:rPr>
          <w:rFonts w:ascii="Bookman Old Style" w:hAnsi="Bookman Old Style" w:cs="Bookman Old Style"/>
          <w:color w:val="auto"/>
          <w:sz w:val="22"/>
          <w:szCs w:val="22"/>
        </w:rPr>
        <w:t>,</w:t>
      </w:r>
      <w:r w:rsidR="002403A9">
        <w:rPr>
          <w:rFonts w:ascii="Bookman Old Style" w:hAnsi="Bookman Old Style" w:cs="Bookman Old Style"/>
          <w:color w:val="auto"/>
          <w:sz w:val="22"/>
          <w:szCs w:val="22"/>
        </w:rPr>
        <w:t xml:space="preserve"> dovrà </w:t>
      </w:r>
      <w:r w:rsidRPr="00155254">
        <w:rPr>
          <w:rFonts w:ascii="Bookman Old Style" w:hAnsi="Bookman Old Style" w:cs="Bookman Old Style"/>
          <w:bCs/>
          <w:color w:val="auto"/>
          <w:sz w:val="22"/>
          <w:szCs w:val="22"/>
        </w:rPr>
        <w:t>de</w:t>
      </w:r>
      <w:r>
        <w:rPr>
          <w:rFonts w:ascii="Bookman Old Style" w:hAnsi="Bookman Old Style" w:cs="Bookman Old Style"/>
          <w:bCs/>
          <w:color w:val="auto"/>
          <w:sz w:val="22"/>
          <w:szCs w:val="22"/>
        </w:rPr>
        <w:t>positarsi altresì la bozza cartacea</w:t>
      </w:r>
      <w:r w:rsidR="002403A9" w:rsidRPr="00155254">
        <w:rPr>
          <w:rFonts w:ascii="Bookman Old Style" w:hAnsi="Bookman Old Style" w:cs="Bookman Old Style"/>
          <w:b/>
          <w:bCs/>
          <w:color w:val="auto"/>
          <w:sz w:val="22"/>
          <w:szCs w:val="22"/>
        </w:rPr>
        <w:t xml:space="preserve"> </w:t>
      </w:r>
    </w:p>
    <w:p w:rsidR="00155254" w:rsidRPr="00155254" w:rsidRDefault="00155254" w:rsidP="00761D6E">
      <w:pPr>
        <w:pStyle w:val="Default"/>
        <w:spacing w:line="360" w:lineRule="auto"/>
        <w:jc w:val="both"/>
        <w:rPr>
          <w:rFonts w:ascii="Bookman Old Style" w:hAnsi="Bookman Old Style" w:cs="Bookman Old Style"/>
          <w:b/>
          <w:bCs/>
          <w:color w:val="auto"/>
          <w:sz w:val="22"/>
          <w:szCs w:val="22"/>
        </w:rPr>
      </w:pPr>
    </w:p>
    <w:p w:rsidR="002403A9" w:rsidRDefault="00155254" w:rsidP="006F3030">
      <w:pPr>
        <w:pStyle w:val="Default"/>
        <w:spacing w:line="480" w:lineRule="auto"/>
        <w:jc w:val="both"/>
        <w:rPr>
          <w:rFonts w:ascii="Bookman Old Style" w:hAnsi="Bookman Old Style" w:cs="Bookman Old Style"/>
          <w:color w:val="auto"/>
          <w:sz w:val="22"/>
          <w:szCs w:val="22"/>
        </w:rPr>
      </w:pPr>
      <w:r>
        <w:rPr>
          <w:rFonts w:ascii="Bookman Old Style" w:hAnsi="Bookman Old Style" w:cs="Bookman Old Style"/>
          <w:b/>
          <w:bCs/>
          <w:color w:val="auto"/>
          <w:sz w:val="22"/>
          <w:szCs w:val="22"/>
        </w:rPr>
        <w:t>1</w:t>
      </w:r>
      <w:r w:rsidR="002403A9">
        <w:rPr>
          <w:rFonts w:ascii="Bookman Old Style" w:hAnsi="Bookman Old Style" w:cs="Bookman Old Style"/>
          <w:b/>
          <w:bCs/>
          <w:color w:val="auto"/>
          <w:sz w:val="22"/>
          <w:szCs w:val="22"/>
        </w:rPr>
        <w:t xml:space="preserve">.2 </w:t>
      </w:r>
      <w:r w:rsidR="002403A9">
        <w:rPr>
          <w:rFonts w:ascii="Bookman Old Style" w:hAnsi="Bookman Old Style" w:cs="Bookman Old Style"/>
          <w:color w:val="auto"/>
          <w:sz w:val="22"/>
          <w:szCs w:val="22"/>
        </w:rPr>
        <w:t>Oltre a ciò, la documentazione allegata (alla stregua di un fascicoletto</w:t>
      </w:r>
      <w:r w:rsidR="008647F5">
        <w:rPr>
          <w:rFonts w:ascii="Bookman Old Style" w:hAnsi="Bookman Old Style" w:cs="Bookman Old Style"/>
          <w:color w:val="auto"/>
          <w:sz w:val="22"/>
          <w:szCs w:val="22"/>
        </w:rPr>
        <w:t xml:space="preserve"> cartaceo</w:t>
      </w:r>
      <w:r w:rsidR="002403A9">
        <w:rPr>
          <w:rFonts w:ascii="Bookman Old Style" w:hAnsi="Bookman Old Style" w:cs="Bookman Old Style"/>
          <w:color w:val="auto"/>
          <w:sz w:val="22"/>
          <w:szCs w:val="22"/>
        </w:rPr>
        <w:t xml:space="preserve"> riassuntivo della proc</w:t>
      </w:r>
      <w:r>
        <w:rPr>
          <w:rFonts w:ascii="Bookman Old Style" w:hAnsi="Bookman Old Style" w:cs="Bookman Old Style"/>
          <w:color w:val="auto"/>
          <w:sz w:val="22"/>
          <w:szCs w:val="22"/>
        </w:rPr>
        <w:t>edura)</w:t>
      </w:r>
      <w:r w:rsidR="002403A9">
        <w:rPr>
          <w:rFonts w:ascii="Bookman Old Style" w:hAnsi="Bookman Old Style" w:cs="Bookman Old Style"/>
          <w:color w:val="auto"/>
          <w:sz w:val="22"/>
          <w:szCs w:val="22"/>
        </w:rPr>
        <w:t xml:space="preserve">, dovrà contenere: </w:t>
      </w:r>
    </w:p>
    <w:p w:rsidR="002403A9" w:rsidRDefault="006F3030" w:rsidP="006F3030">
      <w:pPr>
        <w:pStyle w:val="Default"/>
        <w:spacing w:after="148" w:line="480" w:lineRule="auto"/>
        <w:jc w:val="both"/>
        <w:rPr>
          <w:rFonts w:ascii="Bookman Old Style" w:hAnsi="Bookman Old Style" w:cs="Bookman Old Style"/>
          <w:color w:val="auto"/>
          <w:sz w:val="22"/>
          <w:szCs w:val="22"/>
        </w:rPr>
      </w:pPr>
      <w:r>
        <w:rPr>
          <w:rFonts w:ascii="Bookman Old Style" w:hAnsi="Bookman Old Style" w:cs="Bookman Old Style"/>
          <w:color w:val="auto"/>
          <w:sz w:val="22"/>
          <w:szCs w:val="22"/>
        </w:rPr>
        <w:t>1</w:t>
      </w:r>
      <w:r w:rsidR="002403A9">
        <w:rPr>
          <w:rFonts w:ascii="Bookman Old Style" w:hAnsi="Bookman Old Style" w:cs="Bookman Old Style"/>
          <w:color w:val="auto"/>
          <w:sz w:val="22"/>
          <w:szCs w:val="22"/>
        </w:rPr>
        <w:t xml:space="preserve">) L’avviso della vendita in cui è avvenuta l’aggiudicazione; </w:t>
      </w:r>
    </w:p>
    <w:p w:rsidR="002403A9" w:rsidRDefault="006F3030" w:rsidP="006F3030">
      <w:pPr>
        <w:pStyle w:val="Default"/>
        <w:spacing w:after="148" w:line="480" w:lineRule="auto"/>
        <w:jc w:val="both"/>
        <w:rPr>
          <w:rFonts w:ascii="Bookman Old Style" w:hAnsi="Bookman Old Style" w:cs="Bookman Old Style"/>
          <w:color w:val="auto"/>
          <w:sz w:val="22"/>
          <w:szCs w:val="22"/>
        </w:rPr>
      </w:pPr>
      <w:r>
        <w:rPr>
          <w:rFonts w:ascii="Bookman Old Style" w:hAnsi="Bookman Old Style" w:cs="Bookman Old Style"/>
          <w:color w:val="auto"/>
          <w:sz w:val="22"/>
          <w:szCs w:val="22"/>
        </w:rPr>
        <w:t>2</w:t>
      </w:r>
      <w:r w:rsidR="002403A9">
        <w:rPr>
          <w:rFonts w:ascii="Bookman Old Style" w:hAnsi="Bookman Old Style" w:cs="Bookman Old Style"/>
          <w:color w:val="auto"/>
          <w:sz w:val="22"/>
          <w:szCs w:val="22"/>
        </w:rPr>
        <w:t xml:space="preserve">) Il verbale di aggiudicazione completo; </w:t>
      </w:r>
    </w:p>
    <w:p w:rsidR="002403A9" w:rsidRDefault="006F3030" w:rsidP="006F3030">
      <w:pPr>
        <w:pStyle w:val="Default"/>
        <w:spacing w:after="148" w:line="480" w:lineRule="auto"/>
        <w:jc w:val="both"/>
        <w:rPr>
          <w:rFonts w:ascii="Bookman Old Style" w:hAnsi="Bookman Old Style" w:cs="Bookman Old Style"/>
          <w:color w:val="auto"/>
          <w:sz w:val="22"/>
          <w:szCs w:val="22"/>
        </w:rPr>
      </w:pPr>
      <w:r>
        <w:rPr>
          <w:rFonts w:ascii="Bookman Old Style" w:hAnsi="Bookman Old Style" w:cs="Bookman Old Style"/>
          <w:color w:val="auto"/>
          <w:sz w:val="22"/>
          <w:szCs w:val="22"/>
        </w:rPr>
        <w:t>3</w:t>
      </w:r>
      <w:r w:rsidR="002403A9">
        <w:rPr>
          <w:rFonts w:ascii="Bookman Old Style" w:hAnsi="Bookman Old Style" w:cs="Bookman Old Style"/>
          <w:color w:val="auto"/>
          <w:sz w:val="22"/>
          <w:szCs w:val="22"/>
        </w:rPr>
        <w:t xml:space="preserve">) La prova della pubblicità espletate ai fini della vendita portante all’aggiudicazione; </w:t>
      </w:r>
    </w:p>
    <w:p w:rsidR="002403A9" w:rsidRDefault="006F3030" w:rsidP="006F3030">
      <w:pPr>
        <w:pStyle w:val="Default"/>
        <w:spacing w:after="148" w:line="480" w:lineRule="auto"/>
        <w:jc w:val="both"/>
        <w:rPr>
          <w:rFonts w:ascii="Bookman Old Style" w:hAnsi="Bookman Old Style" w:cs="Bookman Old Style"/>
          <w:color w:val="auto"/>
          <w:sz w:val="22"/>
          <w:szCs w:val="22"/>
        </w:rPr>
      </w:pPr>
      <w:r>
        <w:rPr>
          <w:rFonts w:ascii="Bookman Old Style" w:hAnsi="Bookman Old Style" w:cs="Bookman Old Style"/>
          <w:color w:val="auto"/>
          <w:sz w:val="22"/>
          <w:szCs w:val="22"/>
        </w:rPr>
        <w:t>4</w:t>
      </w:r>
      <w:r w:rsidR="002403A9">
        <w:rPr>
          <w:rFonts w:ascii="Bookman Old Style" w:hAnsi="Bookman Old Style" w:cs="Bookman Old Style"/>
          <w:color w:val="auto"/>
          <w:sz w:val="22"/>
          <w:szCs w:val="22"/>
        </w:rPr>
        <w:t xml:space="preserve">) Gli atti attestanti il versamento del saldo prezzo; </w:t>
      </w:r>
    </w:p>
    <w:p w:rsidR="002403A9" w:rsidRDefault="006F3030" w:rsidP="006F3030">
      <w:pPr>
        <w:pStyle w:val="Default"/>
        <w:spacing w:after="148" w:line="480" w:lineRule="auto"/>
        <w:jc w:val="both"/>
        <w:rPr>
          <w:rFonts w:ascii="Bookman Old Style" w:hAnsi="Bookman Old Style" w:cs="Bookman Old Style"/>
          <w:color w:val="auto"/>
          <w:sz w:val="22"/>
          <w:szCs w:val="22"/>
        </w:rPr>
      </w:pPr>
      <w:r>
        <w:rPr>
          <w:rFonts w:ascii="Bookman Old Style" w:hAnsi="Bookman Old Style" w:cs="Bookman Old Style"/>
          <w:color w:val="auto"/>
          <w:sz w:val="22"/>
          <w:szCs w:val="22"/>
        </w:rPr>
        <w:t>5</w:t>
      </w:r>
      <w:r w:rsidR="002403A9">
        <w:rPr>
          <w:rFonts w:ascii="Bookman Old Style" w:hAnsi="Bookman Old Style" w:cs="Bookman Old Style"/>
          <w:color w:val="auto"/>
          <w:sz w:val="22"/>
          <w:szCs w:val="22"/>
        </w:rPr>
        <w:t>) Gli</w:t>
      </w:r>
      <w:r w:rsidR="00155254">
        <w:rPr>
          <w:rFonts w:ascii="Bookman Old Style" w:hAnsi="Bookman Old Style" w:cs="Bookman Old Style"/>
          <w:color w:val="auto"/>
          <w:sz w:val="22"/>
          <w:szCs w:val="22"/>
        </w:rPr>
        <w:t xml:space="preserve"> eventuali</w:t>
      </w:r>
      <w:r w:rsidR="002403A9">
        <w:rPr>
          <w:rFonts w:ascii="Bookman Old Style" w:hAnsi="Bookman Old Style" w:cs="Bookman Old Style"/>
          <w:color w:val="auto"/>
          <w:sz w:val="22"/>
          <w:szCs w:val="22"/>
        </w:rPr>
        <w:t xml:space="preserve"> a</w:t>
      </w:r>
      <w:r w:rsidR="00155254">
        <w:rPr>
          <w:rFonts w:ascii="Bookman Old Style" w:hAnsi="Bookman Old Style" w:cs="Bookman Old Style"/>
          <w:color w:val="auto"/>
          <w:sz w:val="22"/>
          <w:szCs w:val="22"/>
        </w:rPr>
        <w:t>ggiornamenti catastali</w:t>
      </w:r>
      <w:r w:rsidR="002403A9">
        <w:rPr>
          <w:rFonts w:ascii="Bookman Old Style" w:hAnsi="Bookman Old Style" w:cs="Bookman Old Style"/>
          <w:color w:val="auto"/>
          <w:sz w:val="22"/>
          <w:szCs w:val="22"/>
        </w:rPr>
        <w:t xml:space="preserve"> </w:t>
      </w:r>
    </w:p>
    <w:p w:rsidR="00155254" w:rsidRDefault="006F3030" w:rsidP="006F3030">
      <w:pPr>
        <w:pStyle w:val="Default"/>
        <w:spacing w:line="480" w:lineRule="auto"/>
        <w:jc w:val="both"/>
        <w:rPr>
          <w:rFonts w:ascii="Bookman Old Style" w:hAnsi="Bookman Old Style" w:cs="Bookman Old Style"/>
          <w:color w:val="auto"/>
          <w:sz w:val="22"/>
          <w:szCs w:val="22"/>
        </w:rPr>
      </w:pPr>
      <w:r>
        <w:rPr>
          <w:rFonts w:ascii="Bookman Old Style" w:hAnsi="Bookman Old Style" w:cs="Bookman Old Style"/>
          <w:color w:val="auto"/>
          <w:sz w:val="22"/>
          <w:szCs w:val="22"/>
        </w:rPr>
        <w:t>6</w:t>
      </w:r>
      <w:r w:rsidR="00155254">
        <w:rPr>
          <w:rFonts w:ascii="Bookman Old Style" w:hAnsi="Bookman Old Style" w:cs="Bookman Old Style"/>
          <w:color w:val="auto"/>
          <w:sz w:val="22"/>
          <w:szCs w:val="22"/>
        </w:rPr>
        <w:t>) APE;</w:t>
      </w:r>
    </w:p>
    <w:p w:rsidR="00155254" w:rsidRDefault="006F3030" w:rsidP="006F3030">
      <w:pPr>
        <w:pStyle w:val="Default"/>
        <w:spacing w:line="480" w:lineRule="auto"/>
        <w:jc w:val="both"/>
        <w:rPr>
          <w:rFonts w:ascii="Bookman Old Style" w:hAnsi="Bookman Old Style" w:cs="Bookman Old Style"/>
          <w:color w:val="auto"/>
          <w:sz w:val="22"/>
          <w:szCs w:val="22"/>
        </w:rPr>
      </w:pPr>
      <w:r>
        <w:rPr>
          <w:rFonts w:ascii="Bookman Old Style" w:hAnsi="Bookman Old Style" w:cs="Bookman Old Style"/>
          <w:color w:val="auto"/>
          <w:sz w:val="22"/>
          <w:szCs w:val="22"/>
        </w:rPr>
        <w:t>7</w:t>
      </w:r>
      <w:r w:rsidR="00155254">
        <w:rPr>
          <w:rFonts w:ascii="Bookman Old Style" w:hAnsi="Bookman Old Style" w:cs="Bookman Old Style"/>
          <w:color w:val="auto"/>
          <w:sz w:val="22"/>
          <w:szCs w:val="22"/>
        </w:rPr>
        <w:t xml:space="preserve">) Richiesta da parte dell’aggiudicatario di agevolazioni per prezzo valore o acquisto/riacquisto prima casa correlate di documenti di </w:t>
      </w:r>
      <w:r>
        <w:rPr>
          <w:rFonts w:ascii="Bookman Old Style" w:hAnsi="Bookman Old Style" w:cs="Bookman Old Style"/>
          <w:color w:val="auto"/>
          <w:sz w:val="22"/>
          <w:szCs w:val="22"/>
        </w:rPr>
        <w:t>identità</w:t>
      </w:r>
      <w:r w:rsidR="00155254">
        <w:rPr>
          <w:rFonts w:ascii="Bookman Old Style" w:hAnsi="Bookman Old Style" w:cs="Bookman Old Style"/>
          <w:color w:val="auto"/>
          <w:sz w:val="22"/>
          <w:szCs w:val="22"/>
        </w:rPr>
        <w:t>, estratto dell’atto di matrimonio</w:t>
      </w:r>
      <w:r>
        <w:rPr>
          <w:rFonts w:ascii="Bookman Old Style" w:hAnsi="Bookman Old Style" w:cs="Bookman Old Style"/>
          <w:color w:val="auto"/>
          <w:sz w:val="22"/>
          <w:szCs w:val="22"/>
        </w:rPr>
        <w:t>.</w:t>
      </w:r>
    </w:p>
    <w:p w:rsidR="00155254" w:rsidRDefault="006F3030" w:rsidP="006F3030">
      <w:pPr>
        <w:pStyle w:val="Default"/>
        <w:spacing w:line="480" w:lineRule="auto"/>
        <w:jc w:val="both"/>
        <w:rPr>
          <w:rFonts w:ascii="Bookman Old Style" w:hAnsi="Bookman Old Style" w:cs="Bookman Old Style"/>
          <w:color w:val="auto"/>
          <w:sz w:val="22"/>
          <w:szCs w:val="22"/>
        </w:rPr>
      </w:pPr>
      <w:r>
        <w:rPr>
          <w:rFonts w:ascii="Bookman Old Style" w:hAnsi="Bookman Old Style" w:cs="Bookman Old Style"/>
          <w:color w:val="auto"/>
          <w:sz w:val="22"/>
          <w:szCs w:val="22"/>
        </w:rPr>
        <w:t xml:space="preserve">8) </w:t>
      </w:r>
      <w:r w:rsidRPr="001243BF">
        <w:rPr>
          <w:rFonts w:ascii="Bookman Old Style" w:hAnsi="Bookman Old Style" w:cs="Bookman Old Style"/>
          <w:b/>
          <w:color w:val="auto"/>
          <w:sz w:val="22"/>
          <w:szCs w:val="22"/>
        </w:rPr>
        <w:t>Fascicolo della procedura qualora fosse presso il delegato</w:t>
      </w:r>
      <w:r>
        <w:rPr>
          <w:rFonts w:ascii="Bookman Old Style" w:hAnsi="Bookman Old Style" w:cs="Bookman Old Style"/>
          <w:color w:val="auto"/>
          <w:sz w:val="22"/>
          <w:szCs w:val="22"/>
        </w:rPr>
        <w:t>.</w:t>
      </w:r>
      <w:bookmarkStart w:id="0" w:name="_GoBack"/>
      <w:bookmarkEnd w:id="0"/>
    </w:p>
    <w:p w:rsidR="005D27EF" w:rsidRDefault="006F3030" w:rsidP="006F3030">
      <w:pPr>
        <w:spacing w:line="360" w:lineRule="auto"/>
        <w:jc w:val="center"/>
      </w:pPr>
      <w:r>
        <w:sym w:font="Wingdings" w:char="F09A"/>
      </w:r>
      <w:r>
        <w:sym w:font="Wingdings" w:char="F09B"/>
      </w:r>
    </w:p>
    <w:p w:rsidR="006F3030" w:rsidRDefault="006F3030" w:rsidP="006F3030">
      <w:pPr>
        <w:spacing w:line="360" w:lineRule="auto"/>
        <w:jc w:val="both"/>
        <w:rPr>
          <w:rFonts w:ascii="Bookman Old Style" w:hAnsi="Bookman Old Style"/>
        </w:rPr>
      </w:pPr>
      <w:r w:rsidRPr="006F3030">
        <w:rPr>
          <w:rFonts w:ascii="Bookman Old Style" w:hAnsi="Bookman Old Style"/>
        </w:rPr>
        <w:t>Una volta depositato il decreto di trasferimento</w:t>
      </w:r>
      <w:r>
        <w:rPr>
          <w:rFonts w:ascii="Bookman Old Style" w:hAnsi="Bookman Old Style"/>
        </w:rPr>
        <w:t>, perverrà</w:t>
      </w:r>
      <w:r w:rsidR="007A6552">
        <w:rPr>
          <w:rFonts w:ascii="Bookman Old Style" w:hAnsi="Bookman Old Style"/>
        </w:rPr>
        <w:t xml:space="preserve"> </w:t>
      </w:r>
      <w:r w:rsidRPr="006F3030">
        <w:rPr>
          <w:rFonts w:ascii="Bookman Old Style" w:hAnsi="Bookman Old Style"/>
        </w:rPr>
        <w:t>da parte della Cancelleria al delegato</w:t>
      </w:r>
      <w:r w:rsidR="007A6552">
        <w:rPr>
          <w:rFonts w:ascii="Bookman Old Style" w:hAnsi="Bookman Old Style"/>
        </w:rPr>
        <w:t>,</w:t>
      </w:r>
      <w:r w:rsidRPr="006F303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la richiesta delle marche per il rilascio di copia conforme del suddetto decreto ad uso trascrizione ed annotamenti (euro 16 ogni 4 pagine </w:t>
      </w:r>
      <w:r w:rsidR="007A6552">
        <w:rPr>
          <w:rFonts w:ascii="Bookman Old Style" w:hAnsi="Bookman Old Style"/>
        </w:rPr>
        <w:t>per ogni atto allegato; di</w:t>
      </w:r>
      <w:r w:rsidR="00330B21">
        <w:rPr>
          <w:rFonts w:ascii="Bookman Old Style" w:hAnsi="Bookman Old Style"/>
        </w:rPr>
        <w:t>ri</w:t>
      </w:r>
      <w:r w:rsidR="007A6552">
        <w:rPr>
          <w:rFonts w:ascii="Bookman Old Style" w:hAnsi="Bookman Old Style"/>
        </w:rPr>
        <w:t xml:space="preserve">tto di copia in base al numero totale delle pagine, euro 3,87 per la certificazione di mancata opposizione). </w:t>
      </w:r>
    </w:p>
    <w:p w:rsidR="007A6552" w:rsidRDefault="007A6552" w:rsidP="006F3030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La copia del decreto di trasferimento ad uso trascrizione ed annotamenti sarà rilasciata al delegato decorsi 20 giorni, termine di decorrenza per eventuali opposi</w:t>
      </w:r>
      <w:r w:rsidR="00330B21">
        <w:rPr>
          <w:rFonts w:ascii="Bookman Old Style" w:hAnsi="Bookman Old Style"/>
        </w:rPr>
        <w:t>zioni</w:t>
      </w:r>
    </w:p>
    <w:p w:rsidR="00330B21" w:rsidRDefault="00330B21" w:rsidP="006F3030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Eventuali ulteriori copie conformi del decreto di trasferimento </w:t>
      </w:r>
      <w:r w:rsidR="00E2793B">
        <w:rPr>
          <w:rFonts w:ascii="Bookman Old Style" w:hAnsi="Bookman Old Style"/>
        </w:rPr>
        <w:t>(es: copia da rilasciare all’aggiudicatario) saranno rilasciate previa corresponsione delle marche per copie conformi.</w:t>
      </w:r>
    </w:p>
    <w:p w:rsidR="008C5126" w:rsidRDefault="008C5126" w:rsidP="006F3030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Contemporaneamente al deposito del decreto di trasferimento sarà inviata all’Agenzia delle Entrate la copia del medesimo ad uso registrazione </w:t>
      </w:r>
      <w:proofErr w:type="spellStart"/>
      <w:r>
        <w:rPr>
          <w:rFonts w:ascii="Bookman Old Style" w:hAnsi="Bookman Old Style"/>
        </w:rPr>
        <w:t>sicchè</w:t>
      </w:r>
      <w:proofErr w:type="spellEnd"/>
      <w:r>
        <w:rPr>
          <w:rFonts w:ascii="Bookman Old Style" w:hAnsi="Bookman Old Style"/>
        </w:rPr>
        <w:t xml:space="preserve"> il delegato potrà consultare la liquidazione della tassazione sul sito</w:t>
      </w:r>
    </w:p>
    <w:p w:rsidR="00E2793B" w:rsidRDefault="00CF00C4" w:rsidP="006F3030">
      <w:pPr>
        <w:spacing w:line="360" w:lineRule="auto"/>
        <w:jc w:val="both"/>
        <w:rPr>
          <w:rFonts w:ascii="Bookman Old Style" w:hAnsi="Bookman Old Style"/>
        </w:rPr>
      </w:pPr>
      <w:hyperlink r:id="rId7" w:history="1">
        <w:r w:rsidR="008C5126" w:rsidRPr="007B4415">
          <w:rPr>
            <w:rStyle w:val="Collegamentoipertestuale"/>
            <w:rFonts w:ascii="Bookman Old Style" w:hAnsi="Bookman Old Style"/>
          </w:rPr>
          <w:t>https://www1.agenziaentrate.gov.it/servizi/tassazioneattigiudiziari/registrazione.htm</w:t>
        </w:r>
      </w:hyperlink>
    </w:p>
    <w:p w:rsidR="008C5126" w:rsidRDefault="008C5126" w:rsidP="006F3030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fornendo il numero di repertorio indicato sull’originale telematico del decreto di trasferimento. </w:t>
      </w:r>
    </w:p>
    <w:p w:rsidR="008647F5" w:rsidRDefault="008647F5" w:rsidP="008647F5">
      <w:pPr>
        <w:spacing w:line="36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sym w:font="Wingdings" w:char="F09B"/>
      </w:r>
      <w:r>
        <w:rPr>
          <w:rFonts w:ascii="Bookman Old Style" w:hAnsi="Bookman Old Style"/>
        </w:rPr>
        <w:sym w:font="Wingdings" w:char="F09A"/>
      </w:r>
    </w:p>
    <w:p w:rsidR="008647F5" w:rsidRPr="006F3030" w:rsidRDefault="008647F5" w:rsidP="008647F5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Si invita altresì i delegati a depositare telematicamente ogni avviso di vendita con asta deserta.</w:t>
      </w:r>
    </w:p>
    <w:sectPr w:rsidR="008647F5" w:rsidRPr="006F3030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0C4" w:rsidRDefault="00CF00C4" w:rsidP="006F3030">
      <w:pPr>
        <w:spacing w:after="0" w:line="240" w:lineRule="auto"/>
      </w:pPr>
      <w:r>
        <w:separator/>
      </w:r>
    </w:p>
  </w:endnote>
  <w:endnote w:type="continuationSeparator" w:id="0">
    <w:p w:rsidR="00CF00C4" w:rsidRDefault="00CF00C4" w:rsidP="006F3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4723543"/>
      <w:docPartObj>
        <w:docPartGallery w:val="Page Numbers (Bottom of Page)"/>
        <w:docPartUnique/>
      </w:docPartObj>
    </w:sdtPr>
    <w:sdtEndPr/>
    <w:sdtContent>
      <w:p w:rsidR="006F3030" w:rsidRDefault="006F303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43BF">
          <w:rPr>
            <w:noProof/>
          </w:rPr>
          <w:t>1</w:t>
        </w:r>
        <w:r>
          <w:fldChar w:fldCharType="end"/>
        </w:r>
      </w:p>
    </w:sdtContent>
  </w:sdt>
  <w:p w:rsidR="006F3030" w:rsidRDefault="006F303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0C4" w:rsidRDefault="00CF00C4" w:rsidP="006F3030">
      <w:pPr>
        <w:spacing w:after="0" w:line="240" w:lineRule="auto"/>
      </w:pPr>
      <w:r>
        <w:separator/>
      </w:r>
    </w:p>
  </w:footnote>
  <w:footnote w:type="continuationSeparator" w:id="0">
    <w:p w:rsidR="00CF00C4" w:rsidRDefault="00CF00C4" w:rsidP="006F30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3A9"/>
    <w:rsid w:val="001243BF"/>
    <w:rsid w:val="00155254"/>
    <w:rsid w:val="002403A9"/>
    <w:rsid w:val="00330B21"/>
    <w:rsid w:val="004A63DA"/>
    <w:rsid w:val="00546085"/>
    <w:rsid w:val="005D27EF"/>
    <w:rsid w:val="006F3030"/>
    <w:rsid w:val="00761D6E"/>
    <w:rsid w:val="007A6552"/>
    <w:rsid w:val="008647F5"/>
    <w:rsid w:val="008C5126"/>
    <w:rsid w:val="00A679BE"/>
    <w:rsid w:val="00AA35F8"/>
    <w:rsid w:val="00CF00C4"/>
    <w:rsid w:val="00E2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403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F30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3030"/>
  </w:style>
  <w:style w:type="paragraph" w:styleId="Pidipagina">
    <w:name w:val="footer"/>
    <w:basedOn w:val="Normale"/>
    <w:link w:val="PidipaginaCarattere"/>
    <w:uiPriority w:val="99"/>
    <w:unhideWhenUsed/>
    <w:rsid w:val="006F30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3030"/>
  </w:style>
  <w:style w:type="character" w:styleId="Collegamentoipertestuale">
    <w:name w:val="Hyperlink"/>
    <w:basedOn w:val="Carpredefinitoparagrafo"/>
    <w:uiPriority w:val="99"/>
    <w:unhideWhenUsed/>
    <w:rsid w:val="008C512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403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F30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3030"/>
  </w:style>
  <w:style w:type="paragraph" w:styleId="Pidipagina">
    <w:name w:val="footer"/>
    <w:basedOn w:val="Normale"/>
    <w:link w:val="PidipaginaCarattere"/>
    <w:uiPriority w:val="99"/>
    <w:unhideWhenUsed/>
    <w:rsid w:val="006F30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3030"/>
  </w:style>
  <w:style w:type="character" w:styleId="Collegamentoipertestuale">
    <w:name w:val="Hyperlink"/>
    <w:basedOn w:val="Carpredefinitoparagrafo"/>
    <w:uiPriority w:val="99"/>
    <w:unhideWhenUsed/>
    <w:rsid w:val="008C51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1.agenziaentrate.gov.it/servizi/tassazioneattigiudiziari/registrazione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Elena Ballarini</dc:creator>
  <cp:lastModifiedBy>Clara Giuseppina Badarello</cp:lastModifiedBy>
  <cp:revision>7</cp:revision>
  <dcterms:created xsi:type="dcterms:W3CDTF">2019-10-07T10:15:00Z</dcterms:created>
  <dcterms:modified xsi:type="dcterms:W3CDTF">2019-10-07T10:51:00Z</dcterms:modified>
</cp:coreProperties>
</file>